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E45" w:rsidRPr="004B7E17" w:rsidRDefault="00E86E45" w:rsidP="00E86E45">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8B25CE">
        <w:rPr>
          <w:rFonts w:ascii="Arial" w:hAnsi="Arial" w:cs="Arial"/>
          <w:b/>
          <w:noProof/>
          <w:sz w:val="24"/>
          <w:szCs w:val="24"/>
        </w:rPr>
        <w:t>88</w:t>
      </w:r>
      <w:r w:rsidRPr="004B7E17">
        <w:rPr>
          <w:rFonts w:ascii="Arial" w:hAnsi="Arial" w:cs="Arial"/>
          <w:b/>
          <w:noProof/>
          <w:sz w:val="24"/>
          <w:szCs w:val="24"/>
        </w:rPr>
        <w:tab/>
      </w:r>
      <w:r w:rsidR="008316E6">
        <w:rPr>
          <w:rFonts w:ascii="Arial" w:hAnsi="Arial" w:cs="Arial"/>
          <w:b/>
          <w:bCs/>
          <w:color w:val="808080"/>
          <w:sz w:val="26"/>
          <w:szCs w:val="26"/>
        </w:rPr>
        <w:t>R4-1811286</w:t>
      </w:r>
      <w:bookmarkStart w:id="0" w:name="_GoBack"/>
      <w:bookmarkEnd w:id="0"/>
    </w:p>
    <w:p w:rsidR="00E86E45" w:rsidRDefault="008B25CE" w:rsidP="00E86E45">
      <w:pPr>
        <w:pStyle w:val="Footer"/>
        <w:jc w:val="both"/>
        <w:rPr>
          <w:i w:val="0"/>
          <w:noProof w:val="0"/>
          <w:sz w:val="24"/>
          <w:szCs w:val="24"/>
          <w:lang w:eastAsia="ja-JP"/>
        </w:rPr>
      </w:pPr>
      <w:r>
        <w:rPr>
          <w:rFonts w:eastAsia="SimSun"/>
          <w:i w:val="0"/>
          <w:noProof w:val="0"/>
          <w:sz w:val="24"/>
          <w:szCs w:val="24"/>
        </w:rPr>
        <w:t>Gothenburg</w:t>
      </w:r>
      <w:r w:rsidR="00E86E45">
        <w:rPr>
          <w:i w:val="0"/>
          <w:noProof w:val="0"/>
          <w:sz w:val="24"/>
          <w:szCs w:val="24"/>
          <w:lang w:eastAsia="ja-JP"/>
        </w:rPr>
        <w:t xml:space="preserve">, </w:t>
      </w:r>
      <w:r>
        <w:rPr>
          <w:i w:val="0"/>
          <w:noProof w:val="0"/>
          <w:sz w:val="24"/>
          <w:szCs w:val="24"/>
          <w:lang w:eastAsia="ja-JP"/>
        </w:rPr>
        <w:t>Sweden</w:t>
      </w:r>
      <w:r w:rsidR="00E86E45">
        <w:rPr>
          <w:i w:val="0"/>
          <w:noProof w:val="0"/>
          <w:sz w:val="24"/>
          <w:szCs w:val="24"/>
          <w:lang w:eastAsia="ja-JP"/>
        </w:rPr>
        <w:t xml:space="preserve"> </w:t>
      </w:r>
      <w:r>
        <w:rPr>
          <w:i w:val="0"/>
          <w:noProof w:val="0"/>
          <w:sz w:val="24"/>
          <w:szCs w:val="24"/>
          <w:lang w:eastAsia="ja-JP"/>
        </w:rPr>
        <w:t>Aug</w:t>
      </w:r>
      <w:r w:rsidR="00E86E45">
        <w:rPr>
          <w:i w:val="0"/>
          <w:noProof w:val="0"/>
          <w:sz w:val="24"/>
          <w:szCs w:val="24"/>
          <w:lang w:eastAsia="ja-JP"/>
        </w:rPr>
        <w:t xml:space="preserve"> 2</w:t>
      </w:r>
      <w:r>
        <w:rPr>
          <w:i w:val="0"/>
          <w:noProof w:val="0"/>
          <w:sz w:val="24"/>
          <w:szCs w:val="24"/>
          <w:lang w:eastAsia="ja-JP"/>
        </w:rPr>
        <w:t>0</w:t>
      </w:r>
      <w:r>
        <w:rPr>
          <w:i w:val="0"/>
          <w:noProof w:val="0"/>
          <w:sz w:val="24"/>
          <w:szCs w:val="24"/>
          <w:vertAlign w:val="superscript"/>
          <w:lang w:eastAsia="ja-JP"/>
        </w:rPr>
        <w:t>th</w:t>
      </w:r>
      <w:r w:rsidR="00E86E45">
        <w:rPr>
          <w:i w:val="0"/>
          <w:noProof w:val="0"/>
          <w:sz w:val="24"/>
          <w:szCs w:val="24"/>
          <w:lang w:eastAsia="ja-JP"/>
        </w:rPr>
        <w:t xml:space="preserve"> - </w:t>
      </w:r>
      <w:r>
        <w:rPr>
          <w:i w:val="0"/>
          <w:noProof w:val="0"/>
          <w:sz w:val="24"/>
          <w:szCs w:val="24"/>
          <w:lang w:eastAsia="ja-JP"/>
        </w:rPr>
        <w:t>24</w:t>
      </w:r>
      <w:r w:rsidR="00E86E45" w:rsidRPr="002E04DB">
        <w:rPr>
          <w:i w:val="0"/>
          <w:noProof w:val="0"/>
          <w:sz w:val="24"/>
          <w:szCs w:val="24"/>
          <w:vertAlign w:val="superscript"/>
          <w:lang w:eastAsia="ja-JP"/>
        </w:rPr>
        <w:t>th</w:t>
      </w:r>
      <w:r w:rsidR="00E86E45" w:rsidRPr="004B7E17">
        <w:rPr>
          <w:i w:val="0"/>
          <w:noProof w:val="0"/>
          <w:sz w:val="24"/>
          <w:szCs w:val="24"/>
          <w:lang w:eastAsia="ja-JP"/>
        </w:rPr>
        <w:t>, 201</w:t>
      </w:r>
      <w:r w:rsidR="00E86E45">
        <w:rPr>
          <w:i w:val="0"/>
          <w:noProof w:val="0"/>
          <w:sz w:val="24"/>
          <w:szCs w:val="24"/>
          <w:lang w:eastAsia="ja-JP"/>
        </w:rPr>
        <w:t>8</w:t>
      </w:r>
    </w:p>
    <w:p w:rsidR="00E86E45" w:rsidRDefault="00E86E45" w:rsidP="00E86E45">
      <w:pPr>
        <w:pStyle w:val="Footer"/>
        <w:jc w:val="both"/>
        <w:rPr>
          <w:noProof w:val="0"/>
        </w:rPr>
      </w:pPr>
    </w:p>
    <w:p w:rsidR="00E86E45" w:rsidRPr="00A510C0" w:rsidRDefault="00E86E45" w:rsidP="00E86E45">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8B25CE">
        <w:rPr>
          <w:rFonts w:ascii="Arial" w:hAnsi="Arial"/>
          <w:b/>
          <w:sz w:val="24"/>
        </w:rPr>
        <w:t xml:space="preserve">RRM Requirements for </w:t>
      </w:r>
      <w:r w:rsidR="009A1C8F">
        <w:rPr>
          <w:rFonts w:ascii="Arial" w:hAnsi="Arial"/>
          <w:b/>
          <w:sz w:val="24"/>
        </w:rPr>
        <w:t xml:space="preserve">active TCI state </w:t>
      </w:r>
      <w:r w:rsidR="008B25CE">
        <w:rPr>
          <w:rFonts w:ascii="Arial" w:hAnsi="Arial"/>
          <w:b/>
          <w:sz w:val="24"/>
        </w:rPr>
        <w:t>switch</w:t>
      </w:r>
      <w:r>
        <w:rPr>
          <w:rFonts w:ascii="Arial" w:eastAsia="SimSun" w:hAnsi="Arial"/>
          <w:b/>
          <w:sz w:val="24"/>
          <w:lang w:eastAsia="zh-CN"/>
        </w:rPr>
        <w:t xml:space="preserve"> </w:t>
      </w:r>
    </w:p>
    <w:p w:rsidR="00E86E45" w:rsidRPr="00D372E9" w:rsidRDefault="00E86E45" w:rsidP="00E86E45">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E86E45" w:rsidRDefault="00E86E45" w:rsidP="00E86E45">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7216A4" w:rsidRPr="007216A4">
        <w:rPr>
          <w:rFonts w:ascii="Arial" w:hAnsi="Arial" w:cs="Arial"/>
          <w:b/>
          <w:color w:val="000000"/>
          <w:sz w:val="24"/>
          <w:szCs w:val="24"/>
        </w:rPr>
        <w:t>5.2.8.4 - BWP switching[NR_newRAT-Core]</w:t>
      </w:r>
    </w:p>
    <w:p w:rsidR="00E86E45" w:rsidRDefault="00E86E45" w:rsidP="00E86E45">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E86E45" w:rsidRDefault="00E86E45" w:rsidP="00E86E45">
      <w:pPr>
        <w:tabs>
          <w:tab w:val="left" w:pos="1985"/>
        </w:tabs>
        <w:ind w:left="1980" w:hanging="1980"/>
        <w:jc w:val="both"/>
        <w:rPr>
          <w:rFonts w:ascii="Arial" w:eastAsia="SimSun" w:hAnsi="Arial"/>
          <w:b/>
          <w:sz w:val="24"/>
          <w:lang w:eastAsia="zh-CN"/>
        </w:rPr>
      </w:pPr>
    </w:p>
    <w:p w:rsidR="00E86E45" w:rsidRDefault="00E86E45" w:rsidP="00E86E45">
      <w:pPr>
        <w:tabs>
          <w:tab w:val="left" w:pos="1985"/>
        </w:tabs>
        <w:ind w:left="1980" w:hanging="1980"/>
        <w:jc w:val="both"/>
        <w:rPr>
          <w:rFonts w:ascii="Arial" w:eastAsia="SimSun" w:hAnsi="Arial"/>
          <w:b/>
          <w:sz w:val="24"/>
          <w:lang w:eastAsia="zh-CN"/>
        </w:rPr>
      </w:pPr>
    </w:p>
    <w:p w:rsidR="009D2B1A" w:rsidRDefault="008B25CE" w:rsidP="008B25CE">
      <w:pPr>
        <w:pStyle w:val="Heading1"/>
        <w:rPr>
          <w:rFonts w:eastAsia="SimSun"/>
          <w:lang w:eastAsia="zh-CN"/>
        </w:rPr>
      </w:pPr>
      <w:r>
        <w:rPr>
          <w:rFonts w:eastAsia="SimSun"/>
          <w:lang w:eastAsia="zh-CN"/>
        </w:rPr>
        <w:t>Background</w:t>
      </w:r>
    </w:p>
    <w:p w:rsidR="008B25CE" w:rsidRDefault="008B25CE" w:rsidP="008B25CE">
      <w:pPr>
        <w:rPr>
          <w:lang w:eastAsia="zh-CN"/>
        </w:rPr>
      </w:pPr>
      <w:r>
        <w:rPr>
          <w:lang w:eastAsia="zh-CN"/>
        </w:rPr>
        <w:t>In previous RAN1, RAN2 and RAN4 there have been some agreements made on the time needed to do beam switch upon a TCI state change.  The beam switch can happen via DCI (2</w:t>
      </w:r>
      <w:proofErr w:type="gramStart"/>
      <w:r>
        <w:rPr>
          <w:lang w:eastAsia="zh-CN"/>
        </w:rPr>
        <w:t>ms )</w:t>
      </w:r>
      <w:proofErr w:type="gramEnd"/>
      <w:r>
        <w:rPr>
          <w:lang w:eastAsia="zh-CN"/>
        </w:rPr>
        <w:t>, MAC-CE (3ms) or RRC configuration</w:t>
      </w:r>
      <w:r w:rsidR="0095647E">
        <w:rPr>
          <w:lang w:eastAsia="zh-CN"/>
        </w:rPr>
        <w:t xml:space="preserve"> (on the order of 15-20ms</w:t>
      </w:r>
      <w:r>
        <w:rPr>
          <w:lang w:eastAsia="zh-CN"/>
        </w:rPr>
        <w:t>).</w:t>
      </w:r>
      <w:r w:rsidR="0095647E">
        <w:rPr>
          <w:lang w:eastAsia="zh-CN"/>
        </w:rPr>
        <w:t xml:space="preserve"> However, each of these switches would entail different scheduling restrictions on the UE. In this contribution, we provide our view on the scheduling restrictions needed upon a beam switch.</w:t>
      </w:r>
    </w:p>
    <w:p w:rsidR="008B25CE" w:rsidRDefault="008B25CE" w:rsidP="008B25CE">
      <w:pPr>
        <w:rPr>
          <w:lang w:eastAsia="zh-CN"/>
        </w:rPr>
      </w:pPr>
    </w:p>
    <w:p w:rsidR="00E86E45" w:rsidRDefault="00E86E45" w:rsidP="00E86E45">
      <w:pPr>
        <w:pStyle w:val="Heading1"/>
      </w:pPr>
      <w:r>
        <w:t>Discussion</w:t>
      </w:r>
    </w:p>
    <w:p w:rsidR="0095647E" w:rsidRDefault="0095647E" w:rsidP="00E86E45">
      <w:r>
        <w:t xml:space="preserve">gNodeB can initiate a beam switch at the UE by switching the active TCI state. This is possible via DCI, MAC-CE and RRC configuration. Each one so these commands have a different timeline agreed upon in different RAN WG’s. For DCI and MAC-CE the </w:t>
      </w:r>
      <w:r w:rsidR="007A1B75">
        <w:t>activation time for new TCI state</w:t>
      </w:r>
      <w:r>
        <w:t xml:space="preserve"> are 2ms and 3ms respectively. In these two scenarios, the UE is expected to perform </w:t>
      </w:r>
      <w:r w:rsidR="002B5419">
        <w:t>switch to the new TCI state</w:t>
      </w:r>
      <w:r>
        <w:t xml:space="preserve"> exactly at the end-point of the </w:t>
      </w:r>
      <w:r w:rsidR="002B5419">
        <w:t>activation</w:t>
      </w:r>
      <w:r>
        <w:t xml:space="preserve"> time and can hence be scheduled on the existing beam during the </w:t>
      </w:r>
      <w:r w:rsidR="002B5419">
        <w:t>activation time</w:t>
      </w:r>
      <w:r>
        <w:t xml:space="preserve">. </w:t>
      </w:r>
    </w:p>
    <w:p w:rsidR="0095647E" w:rsidRDefault="0095647E" w:rsidP="00E86E45">
      <w:r w:rsidRPr="007A1B75">
        <w:rPr>
          <w:b/>
        </w:rPr>
        <w:t>Observation 1</w:t>
      </w:r>
      <w:r>
        <w:t xml:space="preserve">: For DCI and MAC-CE based </w:t>
      </w:r>
      <w:r w:rsidR="006426B7">
        <w:t>TCI state</w:t>
      </w:r>
      <w:r>
        <w:t xml:space="preserve"> switch the UE can be scheduled on the beam </w:t>
      </w:r>
      <w:r w:rsidR="006426B7">
        <w:t xml:space="preserve">corresponding to the current TCI state </w:t>
      </w:r>
      <w:r>
        <w:t xml:space="preserve">during the </w:t>
      </w:r>
      <w:r w:rsidR="002B5419">
        <w:t>activation</w:t>
      </w:r>
      <w:r>
        <w:t xml:space="preserve"> time. </w:t>
      </w:r>
    </w:p>
    <w:p w:rsidR="0095647E" w:rsidRDefault="0095647E" w:rsidP="00E86E45">
      <w:r>
        <w:t xml:space="preserve">RRC reconfiguration-based beam switch present a different challenge though. During an RRC reconfiguration </w:t>
      </w:r>
      <w:r w:rsidR="00F848A4">
        <w:t xml:space="preserve">the UE can </w:t>
      </w:r>
      <w:r w:rsidR="002B5419">
        <w:t>change to the new TCI state</w:t>
      </w:r>
      <w:r w:rsidR="00F848A4">
        <w:t xml:space="preserve"> at any point during the reconfiguration time. Since gNodeB is not aware of when the </w:t>
      </w:r>
      <w:r w:rsidR="002B5419">
        <w:t>change</w:t>
      </w:r>
      <w:r w:rsidR="00F848A4">
        <w:t xml:space="preserve"> will occur, UE should not be scheduled during this time. </w:t>
      </w:r>
    </w:p>
    <w:p w:rsidR="00F848A4" w:rsidRDefault="00F848A4" w:rsidP="00E86E45">
      <w:r w:rsidRPr="007A1B75">
        <w:rPr>
          <w:b/>
        </w:rPr>
        <w:t>Observation 2</w:t>
      </w:r>
      <w:r>
        <w:t xml:space="preserve">: RRC based </w:t>
      </w:r>
      <w:r w:rsidR="006426B7">
        <w:t>TCI state</w:t>
      </w:r>
      <w:r>
        <w:t xml:space="preserve"> switch can occur at any point during </w:t>
      </w:r>
      <w:r w:rsidR="006426B7">
        <w:t>re-</w:t>
      </w:r>
      <w:r>
        <w:t xml:space="preserve">configuration. UE cannot be scheduled during RRC reconfiguration time. </w:t>
      </w:r>
    </w:p>
    <w:p w:rsidR="00DA4709" w:rsidRDefault="00F848A4" w:rsidP="00E86E45">
      <w:r>
        <w:t xml:space="preserve">The second aspect of </w:t>
      </w:r>
      <w:r w:rsidR="002B5419">
        <w:t>TCI state change</w:t>
      </w:r>
      <w:r>
        <w:t xml:space="preserve"> has to do with when the UE can be scheduled on the new beam. This would depend on the whether the UE has measured the new TCI state before. If the new </w:t>
      </w:r>
      <w:r w:rsidR="002B5419">
        <w:t>TCI</w:t>
      </w:r>
      <w:r>
        <w:t xml:space="preserve"> is “known”, the UE would not need to wait for SSB </w:t>
      </w:r>
      <w:r w:rsidR="002B5419">
        <w:t xml:space="preserve">to </w:t>
      </w:r>
      <w:r w:rsidR="00DA4709">
        <w:t>do a UE beam sweep to figure out which UE beam to use</w:t>
      </w:r>
      <w:r w:rsidR="00DA4709">
        <w:t xml:space="preserve"> or to acquire timing on the new beam. In case the UE has never measured the new beam, then it </w:t>
      </w:r>
      <w:r w:rsidR="00DA4709">
        <w:lastRenderedPageBreak/>
        <w:t xml:space="preserve">would need to go through UE beam sweep to find out the best beam to use. To separate the above two requirements RAN4 needs to provide the definition of known beam. Our view is that a beam can defined as known if the UE has provided a RSRP report corresponding to that beam in the last [TBD] </w:t>
      </w:r>
      <w:proofErr w:type="spellStart"/>
      <w:r w:rsidR="00DA4709">
        <w:t>ms.</w:t>
      </w:r>
      <w:proofErr w:type="spellEnd"/>
      <w:r w:rsidR="00DA4709">
        <w:t xml:space="preserve"> </w:t>
      </w:r>
    </w:p>
    <w:p w:rsidR="00F848A4" w:rsidRDefault="00DA4709" w:rsidP="00E86E45">
      <w:r w:rsidRPr="007A1B75">
        <w:rPr>
          <w:b/>
        </w:rPr>
        <w:t>Proposal 1</w:t>
      </w:r>
      <w:r>
        <w:t xml:space="preserve">: A beam/TCI state is said to be known if the UE has provided a RSRP report </w:t>
      </w:r>
      <w:r w:rsidR="007A1B75">
        <w:t xml:space="preserve">for that beam </w:t>
      </w:r>
      <w:r>
        <w:t xml:space="preserve">to gNodeB in the last </w:t>
      </w:r>
      <w:r w:rsidR="007A1B75">
        <w:t xml:space="preserve">TBD </w:t>
      </w:r>
      <w:proofErr w:type="spellStart"/>
      <w:r w:rsidR="007A1B75">
        <w:t>ms.</w:t>
      </w:r>
      <w:proofErr w:type="spellEnd"/>
      <w:r w:rsidR="007A1B75">
        <w:t xml:space="preserve"> </w:t>
      </w:r>
    </w:p>
    <w:p w:rsidR="00C3197C" w:rsidRDefault="007A1B75" w:rsidP="00E86E45">
      <w:r>
        <w:t xml:space="preserve">As an example, for </w:t>
      </w:r>
      <w:r w:rsidR="002B5419">
        <w:t xml:space="preserve">MAC-CE based TCI state switch to a known </w:t>
      </w:r>
      <w:r w:rsidR="00C3197C">
        <w:t>TCI state</w:t>
      </w:r>
      <w:r w:rsidR="002B5419">
        <w:t xml:space="preserve">, the UE </w:t>
      </w:r>
      <w:r w:rsidR="00C3197C">
        <w:t xml:space="preserve">should be schedulable on new beam right after the activation time of 3ms. </w:t>
      </w:r>
    </w:p>
    <w:p w:rsidR="0095647E" w:rsidRDefault="00C3197C" w:rsidP="00E86E45">
      <w:r>
        <w:t xml:space="preserve">For a UE switching to unknown TCI state, it will need to do a beam sweep to find the correct beam to use. This can be done via beam sweep based on SSB (slow) or A-CSI-RS (fast).  </w:t>
      </w:r>
    </w:p>
    <w:p w:rsidR="0095647E" w:rsidRDefault="00C3197C" w:rsidP="00E86E45">
      <w:r w:rsidRPr="006426B7">
        <w:rPr>
          <w:b/>
        </w:rPr>
        <w:t>Proposal 2</w:t>
      </w:r>
      <w:r>
        <w:t>: RAN4 to introduce requirements</w:t>
      </w:r>
      <w:r w:rsidR="006426B7">
        <w:t xml:space="preserve"> for</w:t>
      </w:r>
      <w:r>
        <w:t xml:space="preserve"> a switching time </w:t>
      </w:r>
      <w:r w:rsidR="006426B7">
        <w:t>and</w:t>
      </w:r>
      <w:r>
        <w:t xml:space="preserve"> scheduling restrictions for </w:t>
      </w:r>
      <w:r w:rsidR="006426B7">
        <w:t xml:space="preserve">UE </w:t>
      </w:r>
      <w:r>
        <w:t>switch to an unk</w:t>
      </w:r>
      <w:r w:rsidR="006426B7">
        <w:t>n</w:t>
      </w:r>
      <w:r>
        <w:t xml:space="preserve">own TCI state.  </w:t>
      </w:r>
    </w:p>
    <w:p w:rsidR="006426B7" w:rsidRDefault="006426B7" w:rsidP="00E86E45">
      <w:r>
        <w:t xml:space="preserve">Finally, we like to add that the minimum UE capability in terms of active TCI states, as defined in RAN1 feature 2-4, is 1 active state for control and data. We refer to these UE’s as single active beam UE’s. For such UE’s, the switch to new TCI state will always follow the unknown timeline. </w:t>
      </w:r>
    </w:p>
    <w:p w:rsidR="006426B7" w:rsidRDefault="006426B7" w:rsidP="00E86E45">
      <w:r w:rsidRPr="006426B7">
        <w:rPr>
          <w:b/>
        </w:rPr>
        <w:t>Proposal 3</w:t>
      </w:r>
      <w:r>
        <w:t xml:space="preserve">: For single active beam UE’s (declaring minimum capability on RAN1 feature 2-4) the switch to a new TCI state will follow the timeline for unknown state.  </w:t>
      </w:r>
    </w:p>
    <w:p w:rsidR="006426B7" w:rsidRDefault="006426B7" w:rsidP="00E86E45"/>
    <w:p w:rsidR="003020C8" w:rsidRDefault="003020C8" w:rsidP="003020C8">
      <w:pPr>
        <w:pStyle w:val="Heading1"/>
      </w:pPr>
      <w:r>
        <w:t>Conclusion</w:t>
      </w:r>
    </w:p>
    <w:p w:rsidR="006426B7" w:rsidRDefault="006426B7" w:rsidP="006426B7">
      <w:r>
        <w:t xml:space="preserve">In this contribution we start the discussion on RRM requirements for TCI state switch. We provide the following observations based on DCI/MAC-CE and RRC based switches. </w:t>
      </w:r>
    </w:p>
    <w:p w:rsidR="006426B7" w:rsidRDefault="006426B7" w:rsidP="006426B7">
      <w:r w:rsidRPr="007A1B75">
        <w:rPr>
          <w:b/>
        </w:rPr>
        <w:t>Observation 1</w:t>
      </w:r>
      <w:r>
        <w:t xml:space="preserve">: For DCI and MAC-CE based TCI state switch the UE can be scheduled on the beam corresponding to the current TCI state during the activation time. </w:t>
      </w:r>
    </w:p>
    <w:p w:rsidR="006426B7" w:rsidRDefault="006426B7" w:rsidP="006426B7">
      <w:r w:rsidRPr="007A1B75">
        <w:rPr>
          <w:b/>
        </w:rPr>
        <w:t>Observation 2</w:t>
      </w:r>
      <w:r>
        <w:t xml:space="preserve">: RRC based TCI state switch can occur at any point during re-configuration. UE cannot be scheduled during RRC reconfiguration time. </w:t>
      </w:r>
    </w:p>
    <w:p w:rsidR="006426B7" w:rsidRDefault="006426B7" w:rsidP="006426B7">
      <w:r>
        <w:t>In addition, we provide the following proposals to define known and unknown TCI states</w:t>
      </w:r>
    </w:p>
    <w:p w:rsidR="006426B7" w:rsidRDefault="006426B7" w:rsidP="006426B7">
      <w:r w:rsidRPr="007A1B75">
        <w:rPr>
          <w:b/>
        </w:rPr>
        <w:t>Proposal 1</w:t>
      </w:r>
      <w:r>
        <w:t xml:space="preserve">: A beam/TCI state is said to be known if the UE has provided a RSRP report for that beam to gNodeB in the last TBD </w:t>
      </w:r>
      <w:proofErr w:type="spellStart"/>
      <w:r>
        <w:t>ms.</w:t>
      </w:r>
      <w:proofErr w:type="spellEnd"/>
      <w:r>
        <w:t xml:space="preserve"> </w:t>
      </w:r>
    </w:p>
    <w:p w:rsidR="006426B7" w:rsidRDefault="006426B7" w:rsidP="006426B7">
      <w:r w:rsidRPr="006426B7">
        <w:rPr>
          <w:b/>
        </w:rPr>
        <w:t>Proposal 2</w:t>
      </w:r>
      <w:r>
        <w:t xml:space="preserve">: RAN4 to introduce requirements for a switching time and scheduling restrictions for UE switch to an unknown TCI state.  </w:t>
      </w:r>
    </w:p>
    <w:p w:rsidR="006426B7" w:rsidRDefault="006426B7" w:rsidP="006426B7">
      <w:r w:rsidRPr="006426B7">
        <w:rPr>
          <w:b/>
        </w:rPr>
        <w:t>Proposal 3</w:t>
      </w:r>
      <w:r>
        <w:t xml:space="preserve">: For single active beam UE’s (declaring minimum capability on RAN1 feature 2-4) the switch to a new TCI state will follow the timeline for unknown state.  </w:t>
      </w:r>
    </w:p>
    <w:p w:rsidR="006426B7" w:rsidRPr="006426B7" w:rsidRDefault="006426B7" w:rsidP="006426B7"/>
    <w:sectPr w:rsidR="006426B7" w:rsidRPr="006426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0DEF"/>
    <w:multiLevelType w:val="hybridMultilevel"/>
    <w:tmpl w:val="9A1E2076"/>
    <w:lvl w:ilvl="0" w:tplc="C71047E4">
      <w:start w:val="1"/>
      <w:numFmt w:val="bullet"/>
      <w:lvlText w:val="•"/>
      <w:lvlJc w:val="left"/>
      <w:pPr>
        <w:tabs>
          <w:tab w:val="num" w:pos="720"/>
        </w:tabs>
        <w:ind w:left="720" w:hanging="360"/>
      </w:pPr>
      <w:rPr>
        <w:rFonts w:ascii="Arial" w:hAnsi="Arial" w:hint="default"/>
      </w:rPr>
    </w:lvl>
    <w:lvl w:ilvl="1" w:tplc="8312AF68">
      <w:numFmt w:val="bullet"/>
      <w:lvlText w:val="–"/>
      <w:lvlJc w:val="left"/>
      <w:pPr>
        <w:tabs>
          <w:tab w:val="num" w:pos="1440"/>
        </w:tabs>
        <w:ind w:left="1440" w:hanging="360"/>
      </w:pPr>
      <w:rPr>
        <w:rFonts w:ascii="Arial" w:hAnsi="Arial" w:hint="default"/>
      </w:rPr>
    </w:lvl>
    <w:lvl w:ilvl="2" w:tplc="B7FCDDFA">
      <w:numFmt w:val="bullet"/>
      <w:lvlText w:val="•"/>
      <w:lvlJc w:val="left"/>
      <w:pPr>
        <w:tabs>
          <w:tab w:val="num" w:pos="2160"/>
        </w:tabs>
        <w:ind w:left="2160" w:hanging="360"/>
      </w:pPr>
      <w:rPr>
        <w:rFonts w:ascii="Arial" w:hAnsi="Arial" w:hint="default"/>
      </w:rPr>
    </w:lvl>
    <w:lvl w:ilvl="3" w:tplc="60B2F02E" w:tentative="1">
      <w:start w:val="1"/>
      <w:numFmt w:val="bullet"/>
      <w:lvlText w:val="•"/>
      <w:lvlJc w:val="left"/>
      <w:pPr>
        <w:tabs>
          <w:tab w:val="num" w:pos="2880"/>
        </w:tabs>
        <w:ind w:left="2880" w:hanging="360"/>
      </w:pPr>
      <w:rPr>
        <w:rFonts w:ascii="Arial" w:hAnsi="Arial" w:hint="default"/>
      </w:rPr>
    </w:lvl>
    <w:lvl w:ilvl="4" w:tplc="ADA2B066" w:tentative="1">
      <w:start w:val="1"/>
      <w:numFmt w:val="bullet"/>
      <w:lvlText w:val="•"/>
      <w:lvlJc w:val="left"/>
      <w:pPr>
        <w:tabs>
          <w:tab w:val="num" w:pos="3600"/>
        </w:tabs>
        <w:ind w:left="3600" w:hanging="360"/>
      </w:pPr>
      <w:rPr>
        <w:rFonts w:ascii="Arial" w:hAnsi="Arial" w:hint="default"/>
      </w:rPr>
    </w:lvl>
    <w:lvl w:ilvl="5" w:tplc="C2B2C712" w:tentative="1">
      <w:start w:val="1"/>
      <w:numFmt w:val="bullet"/>
      <w:lvlText w:val="•"/>
      <w:lvlJc w:val="left"/>
      <w:pPr>
        <w:tabs>
          <w:tab w:val="num" w:pos="4320"/>
        </w:tabs>
        <w:ind w:left="4320" w:hanging="360"/>
      </w:pPr>
      <w:rPr>
        <w:rFonts w:ascii="Arial" w:hAnsi="Arial" w:hint="default"/>
      </w:rPr>
    </w:lvl>
    <w:lvl w:ilvl="6" w:tplc="95B83998" w:tentative="1">
      <w:start w:val="1"/>
      <w:numFmt w:val="bullet"/>
      <w:lvlText w:val="•"/>
      <w:lvlJc w:val="left"/>
      <w:pPr>
        <w:tabs>
          <w:tab w:val="num" w:pos="5040"/>
        </w:tabs>
        <w:ind w:left="5040" w:hanging="360"/>
      </w:pPr>
      <w:rPr>
        <w:rFonts w:ascii="Arial" w:hAnsi="Arial" w:hint="default"/>
      </w:rPr>
    </w:lvl>
    <w:lvl w:ilvl="7" w:tplc="DC94A750" w:tentative="1">
      <w:start w:val="1"/>
      <w:numFmt w:val="bullet"/>
      <w:lvlText w:val="•"/>
      <w:lvlJc w:val="left"/>
      <w:pPr>
        <w:tabs>
          <w:tab w:val="num" w:pos="5760"/>
        </w:tabs>
        <w:ind w:left="5760" w:hanging="360"/>
      </w:pPr>
      <w:rPr>
        <w:rFonts w:ascii="Arial" w:hAnsi="Arial" w:hint="default"/>
      </w:rPr>
    </w:lvl>
    <w:lvl w:ilvl="8" w:tplc="46A6CD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82775B"/>
    <w:multiLevelType w:val="multilevel"/>
    <w:tmpl w:val="BFFA8D0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97D5E07"/>
    <w:multiLevelType w:val="hybridMultilevel"/>
    <w:tmpl w:val="0AEED08C"/>
    <w:lvl w:ilvl="0" w:tplc="0010B38C">
      <w:start w:val="1"/>
      <w:numFmt w:val="bullet"/>
      <w:lvlText w:val="•"/>
      <w:lvlJc w:val="left"/>
      <w:pPr>
        <w:tabs>
          <w:tab w:val="num" w:pos="720"/>
        </w:tabs>
        <w:ind w:left="720" w:hanging="360"/>
      </w:pPr>
      <w:rPr>
        <w:rFonts w:ascii="Arial" w:hAnsi="Arial" w:hint="default"/>
      </w:rPr>
    </w:lvl>
    <w:lvl w:ilvl="1" w:tplc="788E510E">
      <w:numFmt w:val="bullet"/>
      <w:lvlText w:val="–"/>
      <w:lvlJc w:val="left"/>
      <w:pPr>
        <w:tabs>
          <w:tab w:val="num" w:pos="1440"/>
        </w:tabs>
        <w:ind w:left="1440" w:hanging="360"/>
      </w:pPr>
      <w:rPr>
        <w:rFonts w:ascii="Arial" w:hAnsi="Arial" w:hint="default"/>
      </w:rPr>
    </w:lvl>
    <w:lvl w:ilvl="2" w:tplc="166ED5FC" w:tentative="1">
      <w:start w:val="1"/>
      <w:numFmt w:val="bullet"/>
      <w:lvlText w:val="•"/>
      <w:lvlJc w:val="left"/>
      <w:pPr>
        <w:tabs>
          <w:tab w:val="num" w:pos="2160"/>
        </w:tabs>
        <w:ind w:left="2160" w:hanging="360"/>
      </w:pPr>
      <w:rPr>
        <w:rFonts w:ascii="Arial" w:hAnsi="Arial" w:hint="default"/>
      </w:rPr>
    </w:lvl>
    <w:lvl w:ilvl="3" w:tplc="B3DA3E98" w:tentative="1">
      <w:start w:val="1"/>
      <w:numFmt w:val="bullet"/>
      <w:lvlText w:val="•"/>
      <w:lvlJc w:val="left"/>
      <w:pPr>
        <w:tabs>
          <w:tab w:val="num" w:pos="2880"/>
        </w:tabs>
        <w:ind w:left="2880" w:hanging="360"/>
      </w:pPr>
      <w:rPr>
        <w:rFonts w:ascii="Arial" w:hAnsi="Arial" w:hint="default"/>
      </w:rPr>
    </w:lvl>
    <w:lvl w:ilvl="4" w:tplc="A0AA4B40" w:tentative="1">
      <w:start w:val="1"/>
      <w:numFmt w:val="bullet"/>
      <w:lvlText w:val="•"/>
      <w:lvlJc w:val="left"/>
      <w:pPr>
        <w:tabs>
          <w:tab w:val="num" w:pos="3600"/>
        </w:tabs>
        <w:ind w:left="3600" w:hanging="360"/>
      </w:pPr>
      <w:rPr>
        <w:rFonts w:ascii="Arial" w:hAnsi="Arial" w:hint="default"/>
      </w:rPr>
    </w:lvl>
    <w:lvl w:ilvl="5" w:tplc="3C32C692" w:tentative="1">
      <w:start w:val="1"/>
      <w:numFmt w:val="bullet"/>
      <w:lvlText w:val="•"/>
      <w:lvlJc w:val="left"/>
      <w:pPr>
        <w:tabs>
          <w:tab w:val="num" w:pos="4320"/>
        </w:tabs>
        <w:ind w:left="4320" w:hanging="360"/>
      </w:pPr>
      <w:rPr>
        <w:rFonts w:ascii="Arial" w:hAnsi="Arial" w:hint="default"/>
      </w:rPr>
    </w:lvl>
    <w:lvl w:ilvl="6" w:tplc="716214EC" w:tentative="1">
      <w:start w:val="1"/>
      <w:numFmt w:val="bullet"/>
      <w:lvlText w:val="•"/>
      <w:lvlJc w:val="left"/>
      <w:pPr>
        <w:tabs>
          <w:tab w:val="num" w:pos="5040"/>
        </w:tabs>
        <w:ind w:left="5040" w:hanging="360"/>
      </w:pPr>
      <w:rPr>
        <w:rFonts w:ascii="Arial" w:hAnsi="Arial" w:hint="default"/>
      </w:rPr>
    </w:lvl>
    <w:lvl w:ilvl="7" w:tplc="EF122D3A" w:tentative="1">
      <w:start w:val="1"/>
      <w:numFmt w:val="bullet"/>
      <w:lvlText w:val="•"/>
      <w:lvlJc w:val="left"/>
      <w:pPr>
        <w:tabs>
          <w:tab w:val="num" w:pos="5760"/>
        </w:tabs>
        <w:ind w:left="5760" w:hanging="360"/>
      </w:pPr>
      <w:rPr>
        <w:rFonts w:ascii="Arial" w:hAnsi="Arial" w:hint="default"/>
      </w:rPr>
    </w:lvl>
    <w:lvl w:ilvl="8" w:tplc="7F461F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CA33D53"/>
    <w:multiLevelType w:val="hybridMultilevel"/>
    <w:tmpl w:val="D050376C"/>
    <w:lvl w:ilvl="0" w:tplc="7DDCC9D6">
      <w:start w:val="1"/>
      <w:numFmt w:val="bullet"/>
      <w:lvlText w:val="•"/>
      <w:lvlJc w:val="left"/>
      <w:pPr>
        <w:tabs>
          <w:tab w:val="num" w:pos="720"/>
        </w:tabs>
        <w:ind w:left="720" w:hanging="360"/>
      </w:pPr>
      <w:rPr>
        <w:rFonts w:ascii="Arial" w:hAnsi="Arial" w:hint="default"/>
      </w:rPr>
    </w:lvl>
    <w:lvl w:ilvl="1" w:tplc="8ADCB724">
      <w:numFmt w:val="bullet"/>
      <w:lvlText w:val="•"/>
      <w:lvlJc w:val="left"/>
      <w:pPr>
        <w:tabs>
          <w:tab w:val="num" w:pos="1440"/>
        </w:tabs>
        <w:ind w:left="1440" w:hanging="360"/>
      </w:pPr>
      <w:rPr>
        <w:rFonts w:ascii="Arial" w:hAnsi="Arial" w:hint="default"/>
      </w:rPr>
    </w:lvl>
    <w:lvl w:ilvl="2" w:tplc="60622802">
      <w:start w:val="1"/>
      <w:numFmt w:val="bullet"/>
      <w:lvlText w:val="•"/>
      <w:lvlJc w:val="left"/>
      <w:pPr>
        <w:tabs>
          <w:tab w:val="num" w:pos="2160"/>
        </w:tabs>
        <w:ind w:left="2160" w:hanging="360"/>
      </w:pPr>
      <w:rPr>
        <w:rFonts w:ascii="Arial" w:hAnsi="Arial" w:hint="default"/>
      </w:rPr>
    </w:lvl>
    <w:lvl w:ilvl="3" w:tplc="1FC4FA44" w:tentative="1">
      <w:start w:val="1"/>
      <w:numFmt w:val="bullet"/>
      <w:lvlText w:val="•"/>
      <w:lvlJc w:val="left"/>
      <w:pPr>
        <w:tabs>
          <w:tab w:val="num" w:pos="2880"/>
        </w:tabs>
        <w:ind w:left="2880" w:hanging="360"/>
      </w:pPr>
      <w:rPr>
        <w:rFonts w:ascii="Arial" w:hAnsi="Arial" w:hint="default"/>
      </w:rPr>
    </w:lvl>
    <w:lvl w:ilvl="4" w:tplc="9D065B7E" w:tentative="1">
      <w:start w:val="1"/>
      <w:numFmt w:val="bullet"/>
      <w:lvlText w:val="•"/>
      <w:lvlJc w:val="left"/>
      <w:pPr>
        <w:tabs>
          <w:tab w:val="num" w:pos="3600"/>
        </w:tabs>
        <w:ind w:left="3600" w:hanging="360"/>
      </w:pPr>
      <w:rPr>
        <w:rFonts w:ascii="Arial" w:hAnsi="Arial" w:hint="default"/>
      </w:rPr>
    </w:lvl>
    <w:lvl w:ilvl="5" w:tplc="82F68F6C" w:tentative="1">
      <w:start w:val="1"/>
      <w:numFmt w:val="bullet"/>
      <w:lvlText w:val="•"/>
      <w:lvlJc w:val="left"/>
      <w:pPr>
        <w:tabs>
          <w:tab w:val="num" w:pos="4320"/>
        </w:tabs>
        <w:ind w:left="4320" w:hanging="360"/>
      </w:pPr>
      <w:rPr>
        <w:rFonts w:ascii="Arial" w:hAnsi="Arial" w:hint="default"/>
      </w:rPr>
    </w:lvl>
    <w:lvl w:ilvl="6" w:tplc="C75EE4EE" w:tentative="1">
      <w:start w:val="1"/>
      <w:numFmt w:val="bullet"/>
      <w:lvlText w:val="•"/>
      <w:lvlJc w:val="left"/>
      <w:pPr>
        <w:tabs>
          <w:tab w:val="num" w:pos="5040"/>
        </w:tabs>
        <w:ind w:left="5040" w:hanging="360"/>
      </w:pPr>
      <w:rPr>
        <w:rFonts w:ascii="Arial" w:hAnsi="Arial" w:hint="default"/>
      </w:rPr>
    </w:lvl>
    <w:lvl w:ilvl="7" w:tplc="1F94B126" w:tentative="1">
      <w:start w:val="1"/>
      <w:numFmt w:val="bullet"/>
      <w:lvlText w:val="•"/>
      <w:lvlJc w:val="left"/>
      <w:pPr>
        <w:tabs>
          <w:tab w:val="num" w:pos="5760"/>
        </w:tabs>
        <w:ind w:left="5760" w:hanging="360"/>
      </w:pPr>
      <w:rPr>
        <w:rFonts w:ascii="Arial" w:hAnsi="Arial" w:hint="default"/>
      </w:rPr>
    </w:lvl>
    <w:lvl w:ilvl="8" w:tplc="7410FB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5994E6B"/>
    <w:multiLevelType w:val="hybridMultilevel"/>
    <w:tmpl w:val="2DE40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3"/>
  </w:num>
  <w:num w:numId="12">
    <w:abstractNumId w:val="2"/>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83F"/>
    <w:rsid w:val="00001921"/>
    <w:rsid w:val="00117020"/>
    <w:rsid w:val="00293CB2"/>
    <w:rsid w:val="002B5419"/>
    <w:rsid w:val="002E5195"/>
    <w:rsid w:val="003020C8"/>
    <w:rsid w:val="0033461E"/>
    <w:rsid w:val="004259CA"/>
    <w:rsid w:val="0045426A"/>
    <w:rsid w:val="0054383F"/>
    <w:rsid w:val="006426B7"/>
    <w:rsid w:val="00652255"/>
    <w:rsid w:val="007057CC"/>
    <w:rsid w:val="007216A4"/>
    <w:rsid w:val="00782E55"/>
    <w:rsid w:val="0079611F"/>
    <w:rsid w:val="007A1B75"/>
    <w:rsid w:val="007C24B4"/>
    <w:rsid w:val="008316E6"/>
    <w:rsid w:val="008B25CE"/>
    <w:rsid w:val="00943B69"/>
    <w:rsid w:val="0095647E"/>
    <w:rsid w:val="009A1C8F"/>
    <w:rsid w:val="009D2B1A"/>
    <w:rsid w:val="009F2370"/>
    <w:rsid w:val="00C3197C"/>
    <w:rsid w:val="00D340A9"/>
    <w:rsid w:val="00DA4709"/>
    <w:rsid w:val="00E86E45"/>
    <w:rsid w:val="00F061C9"/>
    <w:rsid w:val="00F848A4"/>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650DE"/>
  <w15:chartTrackingRefBased/>
  <w15:docId w15:val="{F0DAD4B2-2778-49CC-B33F-2FB9476FF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E45"/>
  </w:style>
  <w:style w:type="paragraph" w:styleId="Heading1">
    <w:name w:val="heading 1"/>
    <w:basedOn w:val="Normal"/>
    <w:next w:val="Normal"/>
    <w:link w:val="Heading1Char"/>
    <w:uiPriority w:val="9"/>
    <w:qFormat/>
    <w:rsid w:val="00E86E45"/>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86E45"/>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86E45"/>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86E45"/>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86E45"/>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86E45"/>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86E45"/>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86E45"/>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86E45"/>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E86E45"/>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E86E45"/>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E86E4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6E45"/>
    <w:rPr>
      <w:rFonts w:eastAsiaTheme="minorEastAsia"/>
    </w:rPr>
  </w:style>
  <w:style w:type="character" w:customStyle="1" w:styleId="Heading1Char">
    <w:name w:val="Heading 1 Char"/>
    <w:basedOn w:val="DefaultParagraphFont"/>
    <w:link w:val="Heading1"/>
    <w:uiPriority w:val="9"/>
    <w:rsid w:val="00E86E45"/>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86E45"/>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86E45"/>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86E45"/>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86E45"/>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86E45"/>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86E4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86E4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86E4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86E45"/>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E86E45"/>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86E45"/>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86E45"/>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86E45"/>
    <w:rPr>
      <w:color w:val="5A5A5A" w:themeColor="text1" w:themeTint="A5"/>
      <w:spacing w:val="10"/>
    </w:rPr>
  </w:style>
  <w:style w:type="character" w:styleId="Strong">
    <w:name w:val="Strong"/>
    <w:basedOn w:val="DefaultParagraphFont"/>
    <w:uiPriority w:val="22"/>
    <w:qFormat/>
    <w:rsid w:val="00E86E45"/>
    <w:rPr>
      <w:b/>
      <w:bCs/>
      <w:color w:val="000000" w:themeColor="text1"/>
    </w:rPr>
  </w:style>
  <w:style w:type="character" w:styleId="Emphasis">
    <w:name w:val="Emphasis"/>
    <w:basedOn w:val="DefaultParagraphFont"/>
    <w:uiPriority w:val="20"/>
    <w:qFormat/>
    <w:rsid w:val="00E86E45"/>
    <w:rPr>
      <w:i/>
      <w:iCs/>
      <w:color w:val="auto"/>
    </w:rPr>
  </w:style>
  <w:style w:type="paragraph" w:styleId="NoSpacing">
    <w:name w:val="No Spacing"/>
    <w:uiPriority w:val="1"/>
    <w:qFormat/>
    <w:rsid w:val="00E86E45"/>
    <w:pPr>
      <w:spacing w:after="0" w:line="240" w:lineRule="auto"/>
    </w:pPr>
  </w:style>
  <w:style w:type="paragraph" w:styleId="Quote">
    <w:name w:val="Quote"/>
    <w:basedOn w:val="Normal"/>
    <w:next w:val="Normal"/>
    <w:link w:val="QuoteChar"/>
    <w:uiPriority w:val="29"/>
    <w:qFormat/>
    <w:rsid w:val="00E86E45"/>
    <w:pPr>
      <w:spacing w:before="160"/>
      <w:ind w:left="720" w:right="720"/>
    </w:pPr>
    <w:rPr>
      <w:i/>
      <w:iCs/>
      <w:color w:val="000000" w:themeColor="text1"/>
    </w:rPr>
  </w:style>
  <w:style w:type="character" w:customStyle="1" w:styleId="QuoteChar">
    <w:name w:val="Quote Char"/>
    <w:basedOn w:val="DefaultParagraphFont"/>
    <w:link w:val="Quote"/>
    <w:uiPriority w:val="29"/>
    <w:rsid w:val="00E86E45"/>
    <w:rPr>
      <w:i/>
      <w:iCs/>
      <w:color w:val="000000" w:themeColor="text1"/>
    </w:rPr>
  </w:style>
  <w:style w:type="paragraph" w:styleId="IntenseQuote">
    <w:name w:val="Intense Quote"/>
    <w:basedOn w:val="Normal"/>
    <w:next w:val="Normal"/>
    <w:link w:val="IntenseQuoteChar"/>
    <w:uiPriority w:val="30"/>
    <w:qFormat/>
    <w:rsid w:val="00E86E45"/>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86E45"/>
    <w:rPr>
      <w:color w:val="000000" w:themeColor="text1"/>
      <w:shd w:val="clear" w:color="auto" w:fill="F2F2F2" w:themeFill="background1" w:themeFillShade="F2"/>
    </w:rPr>
  </w:style>
  <w:style w:type="character" w:styleId="SubtleEmphasis">
    <w:name w:val="Subtle Emphasis"/>
    <w:basedOn w:val="DefaultParagraphFont"/>
    <w:uiPriority w:val="19"/>
    <w:qFormat/>
    <w:rsid w:val="00E86E45"/>
    <w:rPr>
      <w:i/>
      <w:iCs/>
      <w:color w:val="404040" w:themeColor="text1" w:themeTint="BF"/>
    </w:rPr>
  </w:style>
  <w:style w:type="character" w:styleId="IntenseEmphasis">
    <w:name w:val="Intense Emphasis"/>
    <w:basedOn w:val="DefaultParagraphFont"/>
    <w:uiPriority w:val="21"/>
    <w:qFormat/>
    <w:rsid w:val="00E86E45"/>
    <w:rPr>
      <w:b/>
      <w:bCs/>
      <w:i/>
      <w:iCs/>
      <w:caps/>
    </w:rPr>
  </w:style>
  <w:style w:type="character" w:styleId="SubtleReference">
    <w:name w:val="Subtle Reference"/>
    <w:basedOn w:val="DefaultParagraphFont"/>
    <w:uiPriority w:val="31"/>
    <w:qFormat/>
    <w:rsid w:val="00E86E4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86E45"/>
    <w:rPr>
      <w:b/>
      <w:bCs/>
      <w:smallCaps/>
      <w:u w:val="single"/>
    </w:rPr>
  </w:style>
  <w:style w:type="character" w:styleId="BookTitle">
    <w:name w:val="Book Title"/>
    <w:basedOn w:val="DefaultParagraphFont"/>
    <w:uiPriority w:val="33"/>
    <w:qFormat/>
    <w:rsid w:val="00E86E45"/>
    <w:rPr>
      <w:b w:val="0"/>
      <w:bCs w:val="0"/>
      <w:smallCaps/>
      <w:spacing w:val="5"/>
    </w:rPr>
  </w:style>
  <w:style w:type="paragraph" w:styleId="TOCHeading">
    <w:name w:val="TOC Heading"/>
    <w:basedOn w:val="Heading1"/>
    <w:next w:val="Normal"/>
    <w:uiPriority w:val="39"/>
    <w:semiHidden/>
    <w:unhideWhenUsed/>
    <w:qFormat/>
    <w:rsid w:val="00E86E45"/>
    <w:pPr>
      <w:outlineLvl w:val="9"/>
    </w:pPr>
  </w:style>
  <w:style w:type="paragraph" w:styleId="ListParagraph">
    <w:name w:val="List Paragraph"/>
    <w:basedOn w:val="Normal"/>
    <w:uiPriority w:val="34"/>
    <w:qFormat/>
    <w:rsid w:val="008B25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99206">
      <w:bodyDiv w:val="1"/>
      <w:marLeft w:val="0"/>
      <w:marRight w:val="0"/>
      <w:marTop w:val="0"/>
      <w:marBottom w:val="0"/>
      <w:divBdr>
        <w:top w:val="none" w:sz="0" w:space="0" w:color="auto"/>
        <w:left w:val="none" w:sz="0" w:space="0" w:color="auto"/>
        <w:bottom w:val="none" w:sz="0" w:space="0" w:color="auto"/>
        <w:right w:val="none" w:sz="0" w:space="0" w:color="auto"/>
      </w:divBdr>
      <w:divsChild>
        <w:div w:id="214699348">
          <w:marLeft w:val="547"/>
          <w:marRight w:val="0"/>
          <w:marTop w:val="134"/>
          <w:marBottom w:val="0"/>
          <w:divBdr>
            <w:top w:val="none" w:sz="0" w:space="0" w:color="auto"/>
            <w:left w:val="none" w:sz="0" w:space="0" w:color="auto"/>
            <w:bottom w:val="none" w:sz="0" w:space="0" w:color="auto"/>
            <w:right w:val="none" w:sz="0" w:space="0" w:color="auto"/>
          </w:divBdr>
        </w:div>
        <w:div w:id="720178591">
          <w:marLeft w:val="1166"/>
          <w:marRight w:val="0"/>
          <w:marTop w:val="115"/>
          <w:marBottom w:val="0"/>
          <w:divBdr>
            <w:top w:val="none" w:sz="0" w:space="0" w:color="auto"/>
            <w:left w:val="none" w:sz="0" w:space="0" w:color="auto"/>
            <w:bottom w:val="none" w:sz="0" w:space="0" w:color="auto"/>
            <w:right w:val="none" w:sz="0" w:space="0" w:color="auto"/>
          </w:divBdr>
        </w:div>
        <w:div w:id="523516759">
          <w:marLeft w:val="1166"/>
          <w:marRight w:val="0"/>
          <w:marTop w:val="115"/>
          <w:marBottom w:val="0"/>
          <w:divBdr>
            <w:top w:val="none" w:sz="0" w:space="0" w:color="auto"/>
            <w:left w:val="none" w:sz="0" w:space="0" w:color="auto"/>
            <w:bottom w:val="none" w:sz="0" w:space="0" w:color="auto"/>
            <w:right w:val="none" w:sz="0" w:space="0" w:color="auto"/>
          </w:divBdr>
        </w:div>
        <w:div w:id="610430822">
          <w:marLeft w:val="1800"/>
          <w:marRight w:val="0"/>
          <w:marTop w:val="96"/>
          <w:marBottom w:val="0"/>
          <w:divBdr>
            <w:top w:val="none" w:sz="0" w:space="0" w:color="auto"/>
            <w:left w:val="none" w:sz="0" w:space="0" w:color="auto"/>
            <w:bottom w:val="none" w:sz="0" w:space="0" w:color="auto"/>
            <w:right w:val="none" w:sz="0" w:space="0" w:color="auto"/>
          </w:divBdr>
        </w:div>
        <w:div w:id="1795639005">
          <w:marLeft w:val="1800"/>
          <w:marRight w:val="0"/>
          <w:marTop w:val="96"/>
          <w:marBottom w:val="0"/>
          <w:divBdr>
            <w:top w:val="none" w:sz="0" w:space="0" w:color="auto"/>
            <w:left w:val="none" w:sz="0" w:space="0" w:color="auto"/>
            <w:bottom w:val="none" w:sz="0" w:space="0" w:color="auto"/>
            <w:right w:val="none" w:sz="0" w:space="0" w:color="auto"/>
          </w:divBdr>
        </w:div>
        <w:div w:id="576596154">
          <w:marLeft w:val="1800"/>
          <w:marRight w:val="0"/>
          <w:marTop w:val="96"/>
          <w:marBottom w:val="0"/>
          <w:divBdr>
            <w:top w:val="none" w:sz="0" w:space="0" w:color="auto"/>
            <w:left w:val="none" w:sz="0" w:space="0" w:color="auto"/>
            <w:bottom w:val="none" w:sz="0" w:space="0" w:color="auto"/>
            <w:right w:val="none" w:sz="0" w:space="0" w:color="auto"/>
          </w:divBdr>
        </w:div>
        <w:div w:id="877863766">
          <w:marLeft w:val="547"/>
          <w:marRight w:val="0"/>
          <w:marTop w:val="134"/>
          <w:marBottom w:val="0"/>
          <w:divBdr>
            <w:top w:val="none" w:sz="0" w:space="0" w:color="auto"/>
            <w:left w:val="none" w:sz="0" w:space="0" w:color="auto"/>
            <w:bottom w:val="none" w:sz="0" w:space="0" w:color="auto"/>
            <w:right w:val="none" w:sz="0" w:space="0" w:color="auto"/>
          </w:divBdr>
        </w:div>
      </w:divsChild>
    </w:div>
    <w:div w:id="1382703197">
      <w:bodyDiv w:val="1"/>
      <w:marLeft w:val="0"/>
      <w:marRight w:val="0"/>
      <w:marTop w:val="0"/>
      <w:marBottom w:val="0"/>
      <w:divBdr>
        <w:top w:val="none" w:sz="0" w:space="0" w:color="auto"/>
        <w:left w:val="none" w:sz="0" w:space="0" w:color="auto"/>
        <w:bottom w:val="none" w:sz="0" w:space="0" w:color="auto"/>
        <w:right w:val="none" w:sz="0" w:space="0" w:color="auto"/>
      </w:divBdr>
      <w:divsChild>
        <w:div w:id="1694912733">
          <w:marLeft w:val="360"/>
          <w:marRight w:val="0"/>
          <w:marTop w:val="200"/>
          <w:marBottom w:val="0"/>
          <w:divBdr>
            <w:top w:val="none" w:sz="0" w:space="0" w:color="auto"/>
            <w:left w:val="none" w:sz="0" w:space="0" w:color="auto"/>
            <w:bottom w:val="none" w:sz="0" w:space="0" w:color="auto"/>
            <w:right w:val="none" w:sz="0" w:space="0" w:color="auto"/>
          </w:divBdr>
        </w:div>
        <w:div w:id="510338394">
          <w:marLeft w:val="360"/>
          <w:marRight w:val="0"/>
          <w:marTop w:val="200"/>
          <w:marBottom w:val="0"/>
          <w:divBdr>
            <w:top w:val="none" w:sz="0" w:space="0" w:color="auto"/>
            <w:left w:val="none" w:sz="0" w:space="0" w:color="auto"/>
            <w:bottom w:val="none" w:sz="0" w:space="0" w:color="auto"/>
            <w:right w:val="none" w:sz="0" w:space="0" w:color="auto"/>
          </w:divBdr>
        </w:div>
        <w:div w:id="728724279">
          <w:marLeft w:val="1080"/>
          <w:marRight w:val="0"/>
          <w:marTop w:val="100"/>
          <w:marBottom w:val="0"/>
          <w:divBdr>
            <w:top w:val="none" w:sz="0" w:space="0" w:color="auto"/>
            <w:left w:val="none" w:sz="0" w:space="0" w:color="auto"/>
            <w:bottom w:val="none" w:sz="0" w:space="0" w:color="auto"/>
            <w:right w:val="none" w:sz="0" w:space="0" w:color="auto"/>
          </w:divBdr>
        </w:div>
        <w:div w:id="444275588">
          <w:marLeft w:val="1080"/>
          <w:marRight w:val="0"/>
          <w:marTop w:val="100"/>
          <w:marBottom w:val="0"/>
          <w:divBdr>
            <w:top w:val="none" w:sz="0" w:space="0" w:color="auto"/>
            <w:left w:val="none" w:sz="0" w:space="0" w:color="auto"/>
            <w:bottom w:val="none" w:sz="0" w:space="0" w:color="auto"/>
            <w:right w:val="none" w:sz="0" w:space="0" w:color="auto"/>
          </w:divBdr>
        </w:div>
        <w:div w:id="498615076">
          <w:marLeft w:val="1080"/>
          <w:marRight w:val="0"/>
          <w:marTop w:val="100"/>
          <w:marBottom w:val="0"/>
          <w:divBdr>
            <w:top w:val="none" w:sz="0" w:space="0" w:color="auto"/>
            <w:left w:val="none" w:sz="0" w:space="0" w:color="auto"/>
            <w:bottom w:val="none" w:sz="0" w:space="0" w:color="auto"/>
            <w:right w:val="none" w:sz="0" w:space="0" w:color="auto"/>
          </w:divBdr>
        </w:div>
        <w:div w:id="834033432">
          <w:marLeft w:val="360"/>
          <w:marRight w:val="0"/>
          <w:marTop w:val="200"/>
          <w:marBottom w:val="0"/>
          <w:divBdr>
            <w:top w:val="none" w:sz="0" w:space="0" w:color="auto"/>
            <w:left w:val="none" w:sz="0" w:space="0" w:color="auto"/>
            <w:bottom w:val="none" w:sz="0" w:space="0" w:color="auto"/>
            <w:right w:val="none" w:sz="0" w:space="0" w:color="auto"/>
          </w:divBdr>
        </w:div>
        <w:div w:id="2138528750">
          <w:marLeft w:val="1080"/>
          <w:marRight w:val="0"/>
          <w:marTop w:val="100"/>
          <w:marBottom w:val="0"/>
          <w:divBdr>
            <w:top w:val="none" w:sz="0" w:space="0" w:color="auto"/>
            <w:left w:val="none" w:sz="0" w:space="0" w:color="auto"/>
            <w:bottom w:val="none" w:sz="0" w:space="0" w:color="auto"/>
            <w:right w:val="none" w:sz="0" w:space="0" w:color="auto"/>
          </w:divBdr>
        </w:div>
      </w:divsChild>
    </w:div>
    <w:div w:id="1994679974">
      <w:bodyDiv w:val="1"/>
      <w:marLeft w:val="0"/>
      <w:marRight w:val="0"/>
      <w:marTop w:val="0"/>
      <w:marBottom w:val="0"/>
      <w:divBdr>
        <w:top w:val="none" w:sz="0" w:space="0" w:color="auto"/>
        <w:left w:val="none" w:sz="0" w:space="0" w:color="auto"/>
        <w:bottom w:val="none" w:sz="0" w:space="0" w:color="auto"/>
        <w:right w:val="none" w:sz="0" w:space="0" w:color="auto"/>
      </w:divBdr>
      <w:divsChild>
        <w:div w:id="742337516">
          <w:marLeft w:val="547"/>
          <w:marRight w:val="0"/>
          <w:marTop w:val="130"/>
          <w:marBottom w:val="0"/>
          <w:divBdr>
            <w:top w:val="none" w:sz="0" w:space="0" w:color="auto"/>
            <w:left w:val="none" w:sz="0" w:space="0" w:color="auto"/>
            <w:bottom w:val="none" w:sz="0" w:space="0" w:color="auto"/>
            <w:right w:val="none" w:sz="0" w:space="0" w:color="auto"/>
          </w:divBdr>
        </w:div>
        <w:div w:id="120661378">
          <w:marLeft w:val="1166"/>
          <w:marRight w:val="0"/>
          <w:marTop w:val="115"/>
          <w:marBottom w:val="0"/>
          <w:divBdr>
            <w:top w:val="none" w:sz="0" w:space="0" w:color="auto"/>
            <w:left w:val="none" w:sz="0" w:space="0" w:color="auto"/>
            <w:bottom w:val="none" w:sz="0" w:space="0" w:color="auto"/>
            <w:right w:val="none" w:sz="0" w:space="0" w:color="auto"/>
          </w:divBdr>
        </w:div>
        <w:div w:id="900870501">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14</cp:revision>
  <dcterms:created xsi:type="dcterms:W3CDTF">2018-05-14T20:09:00Z</dcterms:created>
  <dcterms:modified xsi:type="dcterms:W3CDTF">2018-08-10T20:48:00Z</dcterms:modified>
</cp:coreProperties>
</file>